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92.png" ContentType="image/png"/>
  <Override PartName="/word/media/rId124.png" ContentType="image/png"/>
  <Override PartName="/word/media/rId112.png" ContentType="image/png"/>
  <Override PartName="/word/media/rId116.png" ContentType="image/png"/>
  <Override PartName="/word/media/rId83.png" ContentType="image/png"/>
  <Override PartName="/word/media/rId88.png" ContentType="image/png"/>
  <Override PartName="/word/media/rId120.png" ContentType="image/png"/>
  <Override PartName="/word/media/rId106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128.png" ContentType="image/png"/>
  <Override PartName="/word/media/rId132.png" ContentType="image/png"/>
  <Override PartName="/word/media/rId137.png" ContentType="image/png"/>
  <Override PartName="/word/media/rId141.png" ContentType="image/png"/>
  <Override PartName="/word/media/rId64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97.png" ContentType="image/png"/>
  <Override PartName="/word/media/rId10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p>
      <w:pPr>
        <w:pStyle w:val="Author"/>
      </w:pPr>
      <w:r>
        <w:t xml:space="preserve">НКНбд-01-22;</w:t>
      </w:r>
    </w:p>
    <w:p>
      <w:pPr>
        <w:pStyle w:val="Author"/>
      </w:pPr>
      <w:r>
        <w:t xml:space="preserve">Аристид</w:t>
      </w:r>
      <w:r>
        <w:t xml:space="preserve"> </w:t>
      </w:r>
      <w:r>
        <w:t xml:space="preserve">Жан,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Сатеник,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Виктор,</w:t>
      </w:r>
    </w:p>
    <w:p>
      <w:pPr>
        <w:pStyle w:val="Author"/>
      </w:pPr>
      <w:r>
        <w:t xml:space="preserve">Нве</w:t>
      </w:r>
      <w:r>
        <w:t xml:space="preserve"> </w:t>
      </w:r>
      <w:r>
        <w:t xml:space="preserve">Манге</w:t>
      </w:r>
      <w:r>
        <w:t xml:space="preserve"> </w:t>
      </w:r>
      <w:r>
        <w:t xml:space="preserve">Хосе</w:t>
      </w:r>
      <w:r>
        <w:t xml:space="preserve"> </w:t>
      </w:r>
      <w:r>
        <w:t xml:space="preserve">Херсон</w:t>
      </w:r>
      <w:r>
        <w:t xml:space="preserve"> </w:t>
      </w:r>
      <w:r>
        <w:t xml:space="preserve">Мико,</w:t>
      </w:r>
    </w:p>
    <w:p>
      <w:pPr>
        <w:pStyle w:val="Author"/>
      </w:pPr>
      <w:r>
        <w:t xml:space="preserve">Эспиноса</w:t>
      </w:r>
      <w:r>
        <w:t xml:space="preserve"> </w:t>
      </w:r>
      <w:r>
        <w:t xml:space="preserve">Висилита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Микаела,</w:t>
      </w:r>
    </w:p>
    <w:p>
      <w:pPr>
        <w:pStyle w:val="Author"/>
      </w:pPr>
      <w:r>
        <w:t xml:space="preserve">НПИбд-01-22;</w:t>
      </w:r>
    </w:p>
    <w:p>
      <w:pPr>
        <w:pStyle w:val="Author"/>
      </w:pPr>
      <w:r>
        <w:t xml:space="preserve">Стариков</w:t>
      </w:r>
      <w:r>
        <w:t xml:space="preserve"> </w:t>
      </w:r>
      <w:r>
        <w:t xml:space="preserve">Данила,</w:t>
      </w:r>
    </w:p>
    <w:p>
      <w:pPr>
        <w:pStyle w:val="Author"/>
      </w:pPr>
      <w:r>
        <w:t xml:space="preserve">НФИбд-02-22;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данной лабораторной работы заключается в выполнении тренировки</w:t>
      </w:r>
      <w:r>
        <w:t xml:space="preserve"> </w:t>
      </w:r>
      <w:r>
        <w:t xml:space="preserve">“</w:t>
      </w:r>
      <w:r>
        <w:t xml:space="preserve">Защита корпоративного мессенджера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необходимо освоить практические навыки выявления, анализа и устранения уязвимостей в корпоративной инфраструктуре, а также освоить навыки отработки действий по нейтрализации последствий успешных атак.</w:t>
      </w:r>
    </w:p>
    <w:bookmarkEnd w:id="20"/>
    <w:bookmarkStart w:id="26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Xe160d81ed61c6fbd0bc0ad5bde79c642f6a0a56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Легенда</w:t>
      </w:r>
      <w:r>
        <w:t xml:space="preserve"> </w:t>
      </w:r>
      <w:r>
        <w:t xml:space="preserve">“</w:t>
      </w:r>
      <w:r>
        <w:t xml:space="preserve">Защита корпоративного мессенджера</w:t>
      </w:r>
      <w:r>
        <w:t xml:space="preserve">”</w:t>
      </w:r>
    </w:p>
    <w:p>
      <w:pPr>
        <w:pStyle w:val="FirstParagraph"/>
      </w:pPr>
      <w:r>
        <w:t xml:space="preserve">Конкуренты решили скомпрометировать деятельность Компании и нашли для этого исполнителя. Злоумышленник находит в Интернете сайт соответствующего предприятия и решает провести атаку на него с целью получения доступа к внутренним ресурсам.</w:t>
      </w:r>
    </w:p>
    <w:p>
      <w:pPr>
        <w:pStyle w:val="BodyText"/>
      </w:pPr>
      <w:r>
        <w:t xml:space="preserve">Проэксплуатировав обнаруженную на сайте уязвимость, нарушитель стремится захватить управление другими ресурсами защищаемой сети, в том числе, пытается закрепиться на почтовом сервере и продолжить атаку.</w:t>
      </w:r>
    </w:p>
    <w:p>
      <w:pPr>
        <w:pStyle w:val="BodyText"/>
      </w:pPr>
      <w:r>
        <w:t xml:space="preserve">Главная задача злоумышленника - получение доступа к переписке сотрудников компании, раскрытие учётных данных пользователей,</w:t>
      </w:r>
      <w:r>
        <w:t xml:space="preserve"> </w:t>
      </w:r>
      <w:r>
        <w:t xml:space="preserve">зарегистрированных в приложении корпоративного мессенджера, с целью использования их для нанесения ущерба репутации конкурирующей</w:t>
      </w:r>
      <w:r>
        <w:t xml:space="preserve"> </w:t>
      </w:r>
      <w:r>
        <w:t xml:space="preserve">Компании.</w:t>
      </w:r>
    </w:p>
    <w:p>
      <w:pPr>
        <w:pStyle w:val="BodyText"/>
      </w:pPr>
      <w:r>
        <w:t xml:space="preserve">Квалификация нарушителя высокая. Он умеет использовать инструментарий для проведения атак, а также знает техники постэксплуатации</w:t>
      </w:r>
      <w:r>
        <w:t xml:space="preserve">[1]</w:t>
      </w:r>
      <w:r>
        <w:t xml:space="preserve">.</w:t>
      </w:r>
    </w:p>
    <w:bookmarkEnd w:id="21"/>
    <w:bookmarkStart w:id="25" w:name="пояснения-уязвимостей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Пояснения уязвимостей</w:t>
      </w:r>
    </w:p>
    <w:p>
      <w:pPr>
        <w:pStyle w:val="FirstParagraph"/>
      </w:pPr>
      <w:r>
        <w:t xml:space="preserve">Уязвимости:</w:t>
      </w:r>
    </w:p>
    <w:p>
      <w:pPr>
        <w:numPr>
          <w:ilvl w:val="0"/>
          <w:numId w:val="1001"/>
        </w:numPr>
        <w:pStyle w:val="Compact"/>
      </w:pPr>
      <w:r>
        <w:t xml:space="preserve">WordPress-wpDiscuz (CVE-2020-24186)</w:t>
      </w:r>
    </w:p>
    <w:p>
      <w:pPr>
        <w:numPr>
          <w:ilvl w:val="0"/>
          <w:numId w:val="1001"/>
        </w:numPr>
        <w:pStyle w:val="Compact"/>
      </w:pPr>
      <w:r>
        <w:t xml:space="preserve">Proxylogon (CVE 2020-26855, CVE 2021-27065)</w:t>
      </w:r>
    </w:p>
    <w:p>
      <w:pPr>
        <w:numPr>
          <w:ilvl w:val="0"/>
          <w:numId w:val="1001"/>
        </w:numPr>
        <w:pStyle w:val="Compact"/>
      </w:pPr>
      <w:r>
        <w:t xml:space="preserve">Rocket.Chat (CVE-2021-22911, CVE-2022-0847)</w:t>
      </w:r>
    </w:p>
    <w:bookmarkStart w:id="22" w:name="атака-на-cms-wordpress-wpdiscuz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Атака на CMS WordPress-wpDiscuz</w:t>
      </w:r>
    </w:p>
    <w:p>
      <w:pPr>
        <w:pStyle w:val="FirstParagraph"/>
      </w:pPr>
      <w:r>
        <w:t xml:space="preserve">WpDiscuz– один из плагинов CMS WordPress для создания комментариев на базе Ajax.</w:t>
      </w:r>
    </w:p>
    <w:p>
      <w:pPr>
        <w:pStyle w:val="BodyText"/>
      </w:pPr>
      <w:r>
        <w:t xml:space="preserve">Вверсиях с 7.0.0 по 7.0.4 включительно существует уязвимость File Upload(CVE-2020-24186), которая позволяет получить RCE, если прикрепить любой файл(например, код на php) в поле для комментариев и загрузить на сервер. Данный процесс можно выполнить без аутентификации. После создания файла с полезной нагрузкой нарушитель будет производить POST-запрос с определенными параметрами по ссылке</w:t>
      </w:r>
      <w:r>
        <w:t xml:space="preserve"> </w:t>
      </w:r>
      <w:r>
        <w:t xml:space="preserve">http://webportal3.ampire.corp/index.php/wp-admin/admin-ajax.php для загрузки файла.</w:t>
      </w:r>
    </w:p>
    <w:p>
      <w:pPr>
        <w:pStyle w:val="BodyText"/>
      </w:pPr>
      <w:r>
        <w:t xml:space="preserve">Факт загрузки будет детектироваться в журнале активности в WordPress, в котором записывается хронологическая запись последовательности изменений и действий</w:t>
      </w:r>
      <w:r>
        <w:t xml:space="preserve">[2]</w:t>
      </w:r>
      <w:r>
        <w:t xml:space="preserve">.</w:t>
      </w:r>
    </w:p>
    <w:bookmarkEnd w:id="22"/>
    <w:bookmarkStart w:id="23" w:name="атака-на-почтовый-серверproxylogon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Атака на почтовый сервер(ProxyLogon)</w:t>
      </w:r>
    </w:p>
    <w:p>
      <w:pPr>
        <w:pStyle w:val="FirstParagraph"/>
      </w:pPr>
      <w:r>
        <w:t xml:space="preserve">Уязвимость ProxyLogon (CVE 2020-26855 (Server-Side Request Forgery)) представляет собой SSRF в Exchange Server, позволяющую обойти аутентификацию и выдать себя за администратора. В сценарии данная уязвимость используется в связке с CVE2021-27065(запись файла в произвольную директорию).</w:t>
      </w:r>
    </w:p>
    <w:p>
      <w:pPr>
        <w:pStyle w:val="BodyText"/>
      </w:pPr>
      <w:r>
        <w:t xml:space="preserve">SSRF - подделка запроса на стороне сервера – это атака, которая позволяет отправлять запросы от имени сервера к внешним или внутренним ресурсам.</w:t>
      </w:r>
    </w:p>
    <w:p>
      <w:pPr>
        <w:pStyle w:val="BodyText"/>
      </w:pPr>
      <w:r>
        <w:t xml:space="preserve">При помощи ProxyLogon атакующий может выдать себя, например, за администратора и аутентифицироваться в панели управления Exchange(ECP), после чего перезаписать любой файл в системе при помощи CVE-2021-27065.</w:t>
      </w:r>
    </w:p>
    <w:p>
      <w:pPr>
        <w:pStyle w:val="BodyText"/>
      </w:pPr>
      <w:r>
        <w:t xml:space="preserve">Уязвимости ProxyLogon подвержены все Exchange Server 2016 до версии 15.01.2106.013</w:t>
      </w:r>
      <w:r>
        <w:t xml:space="preserve">[3]</w:t>
      </w:r>
      <w:r>
        <w:t xml:space="preserve">.</w:t>
      </w:r>
    </w:p>
    <w:bookmarkEnd w:id="23"/>
    <w:bookmarkStart w:id="24" w:name="атака-на-rocketchat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Атака на RocketChat</w:t>
      </w:r>
    </w:p>
    <w:p>
      <w:pPr>
        <w:pStyle w:val="FirstParagraph"/>
      </w:pPr>
      <w:r>
        <w:t xml:space="preserve">Уязвимость CVE-2021-22911 представляет собой сочетание из двух SQL инъекций:</w:t>
      </w:r>
    </w:p>
    <w:p>
      <w:pPr>
        <w:numPr>
          <w:ilvl w:val="0"/>
          <w:numId w:val="1002"/>
        </w:numPr>
        <w:pStyle w:val="Compact"/>
      </w:pPr>
      <w:r>
        <w:t xml:space="preserve">слепая NoSQL-инъекция (позволяет украсть токен сброса пароля пользователя);</w:t>
      </w:r>
    </w:p>
    <w:p>
      <w:pPr>
        <w:numPr>
          <w:ilvl w:val="0"/>
          <w:numId w:val="1002"/>
        </w:numPr>
        <w:pStyle w:val="Compact"/>
      </w:pPr>
      <w:r>
        <w:t xml:space="preserve">NoSQL-инъекция№2:повышение привилегий.</w:t>
      </w:r>
    </w:p>
    <w:p>
      <w:pPr>
        <w:pStyle w:val="FirstParagraph"/>
      </w:pPr>
      <w:r>
        <w:t xml:space="preserve">Уязвимость CVE-2022-0847 (Dirty Pipe) представляет собой уязвимость повышения привилегий,находящуюся в самом ядре Linux версии 5.8 и выше</w:t>
      </w:r>
      <w:r>
        <w:t xml:space="preserve">[4]</w:t>
      </w:r>
      <w:r>
        <w:t xml:space="preserve">.</w:t>
      </w:r>
    </w:p>
    <w:bookmarkEnd w:id="24"/>
    <w:bookmarkEnd w:id="25"/>
    <w:bookmarkEnd w:id="26"/>
    <w:bookmarkStart w:id="14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82" w:name="атака-на-cms-wordpress-wpdiscuz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Атака на CMS WordPress-wpDiscuz</w:t>
      </w:r>
    </w:p>
    <w:p>
      <w:pPr>
        <w:pStyle w:val="FirstParagraph"/>
      </w:pPr>
      <w:r>
        <w:t xml:space="preserve">Для начала перейдем в ViPNet IDS NS</w:t>
      </w:r>
      <w:r>
        <w:t xml:space="preserve">[5]</w:t>
      </w:r>
      <w:r>
        <w:t xml:space="preserve">, отфильтруем события и обнаружим акату на CMS WordPress(рис. 1).</w:t>
      </w:r>
    </w:p>
    <w:p>
      <w:pPr>
        <w:pStyle w:val="CaptionedFigure"/>
      </w:pPr>
      <w:bookmarkStart w:id="30" w:name="fig:001"/>
      <w:r>
        <w:drawing>
          <wp:inline>
            <wp:extent cx="5334000" cy="2990497"/>
            <wp:effectExtent b="0" l="0" r="0" t="0"/>
            <wp:docPr descr="Рис. 1: События VipNet IDS NS" title="" id="28" name="Picture"/>
            <a:graphic>
              <a:graphicData uri="http://schemas.openxmlformats.org/drawingml/2006/picture">
                <pic:pic>
                  <pic:nvPicPr>
                    <pic:cNvPr descr="image/a_1_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1: События VipNet IDS NS</w:t>
      </w:r>
    </w:p>
    <w:p>
      <w:pPr>
        <w:pStyle w:val="BodyText"/>
      </w:pPr>
      <w:r>
        <w:t xml:space="preserve">Проанализировав события, поймем, что перед нами уязвимость CVE-2020-24186. Получим дополнительную информацию об этой уязвимости(рис. 2).</w:t>
      </w:r>
    </w:p>
    <w:p>
      <w:pPr>
        <w:pStyle w:val="CaptionedFigure"/>
      </w:pPr>
      <w:bookmarkStart w:id="34" w:name="fig:002"/>
      <w:r>
        <w:drawing>
          <wp:inline>
            <wp:extent cx="5334000" cy="2995436"/>
            <wp:effectExtent b="0" l="0" r="0" t="0"/>
            <wp:docPr descr="Рис. 2: Событие CVE-2020-24186" title="" id="32" name="Picture"/>
            <a:graphic>
              <a:graphicData uri="http://schemas.openxmlformats.org/drawingml/2006/picture">
                <pic:pic>
                  <pic:nvPicPr>
                    <pic:cNvPr descr="image/a_1_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2: Событие CVE-2020-24186</w:t>
      </w:r>
    </w:p>
    <w:p>
      <w:pPr>
        <w:pStyle w:val="BodyText"/>
      </w:pPr>
      <w:r>
        <w:t xml:space="preserve">Через ViPNet IDS NS выявим критические события на почтовом сервере MS Exchange, заметим загрузку подозрительных файлов с использованием фреймворка Matesploit.</w:t>
      </w:r>
    </w:p>
    <w:p>
      <w:pPr>
        <w:pStyle w:val="BodyText"/>
      </w:pPr>
      <w:r>
        <w:t xml:space="preserve">Откроем SecInoin</w:t>
      </w:r>
      <w:r>
        <w:t xml:space="preserve">[6]</w:t>
      </w:r>
      <w:r>
        <w:t xml:space="preserve">, увидим подозрительный http-запрос и ответ сервера, изучим полученный пакет и найдем там ипользование WinAPI-функций, а также байтовый массив для инжектирования кода в память. (рис. 3)</w:t>
      </w:r>
    </w:p>
    <w:p>
      <w:pPr>
        <w:pStyle w:val="CaptionedFigure"/>
      </w:pPr>
      <w:bookmarkStart w:id="38" w:name="fig:003"/>
      <w:r>
        <w:drawing>
          <wp:inline>
            <wp:extent cx="5334000" cy="2016886"/>
            <wp:effectExtent b="0" l="0" r="0" t="0"/>
            <wp:docPr descr="Рис. 3: Анализ SecInoin" title="" id="36" name="Picture"/>
            <a:graphic>
              <a:graphicData uri="http://schemas.openxmlformats.org/drawingml/2006/picture">
                <pic:pic>
                  <pic:nvPicPr>
                    <pic:cNvPr descr="image/a_1_3_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3: Анализ SecInoin</w:t>
      </w:r>
    </w:p>
    <w:p>
      <w:pPr>
        <w:pStyle w:val="BodyText"/>
      </w:pPr>
      <w:r>
        <w:t xml:space="preserve">Мы можем прийти к выводам по технике атаки:</w:t>
      </w:r>
    </w:p>
    <w:p>
      <w:pPr>
        <w:numPr>
          <w:ilvl w:val="0"/>
          <w:numId w:val="1003"/>
        </w:numPr>
        <w:pStyle w:val="Compact"/>
      </w:pPr>
      <w:r>
        <w:t xml:space="preserve">Доставка: через http-запрос к скрипту;</w:t>
      </w:r>
    </w:p>
    <w:p>
      <w:pPr>
        <w:numPr>
          <w:ilvl w:val="0"/>
          <w:numId w:val="1003"/>
        </w:numPr>
        <w:pStyle w:val="Compact"/>
      </w:pPr>
      <w:r>
        <w:t xml:space="preserve">Выполнение: Инжектирование кода в память через VirtualAlloc + CreateThread;</w:t>
      </w:r>
    </w:p>
    <w:p>
      <w:pPr>
        <w:numPr>
          <w:ilvl w:val="0"/>
          <w:numId w:val="1003"/>
        </w:numPr>
        <w:pStyle w:val="Compact"/>
      </w:pPr>
      <w:r>
        <w:t xml:space="preserve">Цель: Обход антивируса(без записи на диск)</w:t>
      </w:r>
    </w:p>
    <w:p>
      <w:pPr>
        <w:pStyle w:val="FirstParagraph"/>
      </w:pPr>
      <w:r>
        <w:t xml:space="preserve">и по индикаторам компрометации(IoC):</w:t>
      </w:r>
    </w:p>
    <w:p>
      <w:pPr>
        <w:numPr>
          <w:ilvl w:val="0"/>
          <w:numId w:val="1004"/>
        </w:numPr>
        <w:pStyle w:val="Compact"/>
      </w:pPr>
      <w:r>
        <w:t xml:space="preserve">IP-адрес: 195.239.174.11;</w:t>
      </w:r>
    </w:p>
    <w:p>
      <w:pPr>
        <w:numPr>
          <w:ilvl w:val="0"/>
          <w:numId w:val="1004"/>
        </w:numPr>
        <w:pStyle w:val="Compact"/>
      </w:pPr>
      <w:r>
        <w:t xml:space="preserve">Порт: 8010/TCP; Хэш(SHA-256): Не вычислен(требуется анализ файла);</w:t>
      </w:r>
    </w:p>
    <w:p>
      <w:pPr>
        <w:numPr>
          <w:ilvl w:val="0"/>
          <w:numId w:val="1004"/>
        </w:numPr>
        <w:pStyle w:val="Compact"/>
      </w:pPr>
      <w:r>
        <w:t xml:space="preserve">Сигнатура кода: Использование VirtualAlloc + шелл-код</w:t>
      </w:r>
    </w:p>
    <w:p>
      <w:pPr>
        <w:pStyle w:val="FirstParagraph"/>
      </w:pPr>
      <w:r>
        <w:t xml:space="preserve">Атака оканчивается загрузкой бинарного файла в формате ELF, который, вероятно, содержит вредоносный код или эксплойт на узел 10.10.2.22.</w:t>
      </w:r>
    </w:p>
    <w:p>
      <w:pPr>
        <w:pStyle w:val="BodyText"/>
      </w:pPr>
      <w:r>
        <w:t xml:space="preserve">Логи посещения WordPress. (рис. 4)</w:t>
      </w:r>
    </w:p>
    <w:p>
      <w:pPr>
        <w:pStyle w:val="CaptionedFigure"/>
      </w:pPr>
      <w:bookmarkStart w:id="42" w:name="fig:004"/>
      <w:r>
        <w:drawing>
          <wp:inline>
            <wp:extent cx="5334000" cy="2253472"/>
            <wp:effectExtent b="0" l="0" r="0" t="0"/>
            <wp:docPr descr="Рис. 4: Логи посещения WordPress" title="" id="40" name="Picture"/>
            <a:graphic>
              <a:graphicData uri="http://schemas.openxmlformats.org/drawingml/2006/picture">
                <pic:pic>
                  <pic:nvPicPr>
                    <pic:cNvPr descr="image/a_1_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4: Логи посещения WordPress</w:t>
      </w:r>
    </w:p>
    <w:p>
      <w:pPr>
        <w:pStyle w:val="BodyText"/>
      </w:pPr>
      <w:r>
        <w:t xml:space="preserve">Создадим карточку инцидента</w:t>
      </w:r>
      <w:r>
        <w:t xml:space="preserve">[7]</w:t>
      </w:r>
      <w:r>
        <w:t xml:space="preserve">. (рис. 5)</w:t>
      </w:r>
    </w:p>
    <w:p>
      <w:pPr>
        <w:pStyle w:val="CaptionedFigure"/>
      </w:pPr>
      <w:bookmarkStart w:id="46" w:name="fig:005"/>
      <w:r>
        <w:drawing>
          <wp:inline>
            <wp:extent cx="5334000" cy="3333750"/>
            <wp:effectExtent b="0" l="0" r="0" t="0"/>
            <wp:docPr descr="Рис. 5: Карточка первого инцидента" title="" id="44" name="Picture"/>
            <a:graphic>
              <a:graphicData uri="http://schemas.openxmlformats.org/drawingml/2006/picture">
                <pic:pic>
                  <pic:nvPicPr>
                    <pic:cNvPr descr="image/i_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5: Карточка первого инцидента</w:t>
      </w:r>
    </w:p>
    <w:bookmarkStart w:id="63" w:name="X3714aa584425328f4a5a6a45da8d2979ce4abe0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Устранение последствия Deface веб-интерфейса</w:t>
      </w:r>
    </w:p>
    <w:p>
      <w:pPr>
        <w:pStyle w:val="FirstParagraph"/>
      </w:pPr>
      <w:r>
        <w:t xml:space="preserve">Если открыть страницу сайта компании, указать в строке браузера IP-адрес 10.10.1.22 (http://webportal3.ampire.corp), то можно заметить, что блог после атаки выглядит следующим образом: до использования полезной нагрузки на странице сайта красный крупнотоннажный грузовой автомобиль и после использования полезной нагрузки картинка</w:t>
      </w:r>
      <w:r>
        <w:t xml:space="preserve"> </w:t>
      </w:r>
      <w:r>
        <w:t xml:space="preserve">“</w:t>
      </w:r>
      <w:r>
        <w:t xml:space="preserve">hacked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На веб-сервере работает ftp-сервер vsftpd, который дает возможность плагину Updraft сохранять и скачивать backup. Таким образом, можно выполнить backup-восстановление из последнего файла.</w:t>
      </w:r>
    </w:p>
    <w:p>
      <w:pPr>
        <w:pStyle w:val="BodyText"/>
      </w:pPr>
      <w:r>
        <w:t xml:space="preserve">Для нейтрализации данной полезной нагрузки необходимо сформировать резервную копию с помощью плагина Updraft Backup/Restore.</w:t>
      </w:r>
    </w:p>
    <w:p>
      <w:pPr>
        <w:pStyle w:val="BodyText"/>
      </w:pPr>
      <w:r>
        <w:t xml:space="preserve">Этапы восстановления(рис. 6 - рис. 7):</w:t>
      </w:r>
    </w:p>
    <w:p>
      <w:pPr>
        <w:numPr>
          <w:ilvl w:val="0"/>
          <w:numId w:val="1005"/>
        </w:numPr>
        <w:pStyle w:val="Compact"/>
      </w:pPr>
      <w:r>
        <w:t xml:space="preserve">в панели управления на странице Plugins найти плагин резервного восстановления UpdraftPlus, открыть настройки.</w:t>
      </w:r>
    </w:p>
    <w:p>
      <w:pPr>
        <w:numPr>
          <w:ilvl w:val="0"/>
          <w:numId w:val="1005"/>
        </w:numPr>
        <w:pStyle w:val="Compact"/>
      </w:pPr>
      <w:r>
        <w:t xml:space="preserve">для восстановления нажать Restore на последней резервной копии.</w:t>
      </w:r>
    </w:p>
    <w:p>
      <w:pPr>
        <w:pStyle w:val="CaptionedFigure"/>
      </w:pPr>
      <w:bookmarkStart w:id="50" w:name="fig:006"/>
      <w:r>
        <w:drawing>
          <wp:inline>
            <wp:extent cx="5334000" cy="3556000"/>
            <wp:effectExtent b="0" l="0" r="0" t="0"/>
            <wp:docPr descr="Рис. 6: Backup-восстановление" title="" id="48" name="Picture"/>
            <a:graphic>
              <a:graphicData uri="http://schemas.openxmlformats.org/drawingml/2006/picture">
                <pic:pic>
                  <pic:nvPicPr>
                    <pic:cNvPr descr="image/u_p_1_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6: Backup-восстановление</w:t>
      </w:r>
    </w:p>
    <w:p>
      <w:pPr>
        <w:pStyle w:val="CaptionedFigure"/>
      </w:pPr>
      <w:bookmarkStart w:id="54" w:name="fig:007"/>
      <w:r>
        <w:drawing>
          <wp:inline>
            <wp:extent cx="5334000" cy="3257197"/>
            <wp:effectExtent b="0" l="0" r="0" t="0"/>
            <wp:docPr descr="Рис. 7: Backup-восстановление" title="" id="52" name="Picture"/>
            <a:graphic>
              <a:graphicData uri="http://schemas.openxmlformats.org/drawingml/2006/picture">
                <pic:pic>
                  <pic:nvPicPr>
                    <pic:cNvPr descr="image/u_p_1_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7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Backup-восстановление</w:t>
      </w:r>
    </w:p>
    <w:p>
      <w:pPr>
        <w:pStyle w:val="BodyText"/>
      </w:pPr>
      <w:r>
        <w:t xml:space="preserve">В выпадающем окне выбора компонентов для восстановления выбрать только</w:t>
      </w:r>
      <w:r>
        <w:t xml:space="preserve"> </w:t>
      </w:r>
      <w:r>
        <w:t xml:space="preserve">“</w:t>
      </w:r>
      <w:r>
        <w:t xml:space="preserve">Themes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Uploads</w:t>
      </w:r>
      <w:r>
        <w:t xml:space="preserve">”</w:t>
      </w:r>
      <w:r>
        <w:t xml:space="preserve">. (рис. 8)</w:t>
      </w:r>
    </w:p>
    <w:p>
      <w:pPr>
        <w:pStyle w:val="CaptionedFigure"/>
      </w:pPr>
      <w:bookmarkStart w:id="58" w:name="fig:008"/>
      <w:r>
        <w:drawing>
          <wp:inline>
            <wp:extent cx="5334000" cy="2997905"/>
            <wp:effectExtent b="0" l="0" r="0" t="0"/>
            <wp:docPr descr="Рис. 8: Выбор компонент" title="" id="56" name="Picture"/>
            <a:graphic>
              <a:graphicData uri="http://schemas.openxmlformats.org/drawingml/2006/picture">
                <pic:pic>
                  <pic:nvPicPr>
                    <pic:cNvPr descr="image/u_p_1_3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8: Выбор компонент</w:t>
      </w:r>
    </w:p>
    <w:p>
      <w:pPr>
        <w:pStyle w:val="BodyText"/>
      </w:pPr>
      <w:r>
        <w:t xml:space="preserve">Успешное восстановление. (рис. 9)</w:t>
      </w:r>
    </w:p>
    <w:p>
      <w:pPr>
        <w:pStyle w:val="CaptionedFigure"/>
      </w:pPr>
      <w:bookmarkStart w:id="62" w:name="fig:009"/>
      <w:r>
        <w:drawing>
          <wp:inline>
            <wp:extent cx="5334000" cy="3002844"/>
            <wp:effectExtent b="0" l="0" r="0" t="0"/>
            <wp:docPr descr="Рис. 9: Успешное восстановление" title="" id="60" name="Picture"/>
            <a:graphic>
              <a:graphicData uri="http://schemas.openxmlformats.org/drawingml/2006/picture">
                <pic:pic>
                  <pic:nvPicPr>
                    <pic:cNvPr descr="image/u_p_1_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9: Успешное восстановление</w:t>
      </w:r>
    </w:p>
    <w:p>
      <w:pPr>
        <w:pStyle w:val="BodyText"/>
      </w:pPr>
      <w:r>
        <w:t xml:space="preserve">После обновления страницы откроется первоначальная картинка сайта.</w:t>
      </w:r>
    </w:p>
    <w:bookmarkEnd w:id="63"/>
    <w:bookmarkStart w:id="68" w:name="устранение-уязвимости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Устранение уязвимости</w:t>
      </w:r>
    </w:p>
    <w:p>
      <w:pPr>
        <w:pStyle w:val="FirstParagraph"/>
      </w:pPr>
      <w:r>
        <w:t xml:space="preserve">Закрытие уязвимости можно осуществить несколькими способами:</w:t>
      </w:r>
    </w:p>
    <w:p>
      <w:pPr>
        <w:numPr>
          <w:ilvl w:val="0"/>
          <w:numId w:val="1006"/>
        </w:numPr>
        <w:pStyle w:val="Compact"/>
      </w:pPr>
      <w:r>
        <w:t xml:space="preserve">отклонение плагина WpDiscuz;</w:t>
      </w:r>
    </w:p>
    <w:p>
      <w:pPr>
        <w:numPr>
          <w:ilvl w:val="0"/>
          <w:numId w:val="1006"/>
        </w:numPr>
        <w:pStyle w:val="Compact"/>
      </w:pPr>
      <w:r>
        <w:t xml:space="preserve">обновление версии WpDiscuz до версии 7.0.5 ии выше(при наличии интернета).</w:t>
      </w:r>
    </w:p>
    <w:p>
      <w:pPr>
        <w:pStyle w:val="FirstParagraph"/>
      </w:pPr>
      <w:r>
        <w:t xml:space="preserve">Для отключения плагина в левой части панели инструментов</w:t>
      </w:r>
      <w:r>
        <w:t xml:space="preserve"> </w:t>
      </w:r>
      <w:r>
        <w:t xml:space="preserve">необходимо открыть раздел Plugins, далее нажать на опцию Deactivate.</w:t>
      </w:r>
      <w:r>
        <w:t xml:space="preserve"> </w:t>
      </w:r>
      <w:r>
        <w:t xml:space="preserve">Также можно полностью удалить плагин с сайта аналогичным образом с</w:t>
      </w:r>
      <w:r>
        <w:t xml:space="preserve"> </w:t>
      </w:r>
      <w:r>
        <w:t xml:space="preserve">помощью опции Delete. (рис. 10)</w:t>
      </w:r>
    </w:p>
    <w:p>
      <w:pPr>
        <w:pStyle w:val="CaptionedFigure"/>
      </w:pPr>
      <w:bookmarkStart w:id="67" w:name="fig:010"/>
      <w:r>
        <w:drawing>
          <wp:inline>
            <wp:extent cx="5334000" cy="2990497"/>
            <wp:effectExtent b="0" l="0" r="0" t="0"/>
            <wp:docPr descr="Рис. 10: Отклонение плагина WpDiscuz" title="" id="65" name="Picture"/>
            <a:graphic>
              <a:graphicData uri="http://schemas.openxmlformats.org/drawingml/2006/picture">
                <pic:pic>
                  <pic:nvPicPr>
                    <pic:cNvPr descr="image/y_y_1_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10: Отклонение плагина WpDiscuz</w:t>
      </w:r>
    </w:p>
    <w:bookmarkEnd w:id="68"/>
    <w:bookmarkStart w:id="81" w:name="Xd0d699ff1332eb4c8b5146206b8e85ef9805837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Также необходимо закрыть активные сессии с атакующим.</w:t>
      </w:r>
    </w:p>
    <w:p>
      <w:pPr>
        <w:pStyle w:val="BodyText"/>
      </w:pPr>
      <w:r>
        <w:t xml:space="preserve">Для обнаружения meterpreter-сессии необходимо проверить сокеты уязвимой машины на подключение к определенному порту машины нарушителя с помощью утилиты ss. Просмотреть сокеты только нужного протокола TCP и отфильтровать данные (например, вывести только активные TCP-соединения) можно с помощью команды: ss -tnp.</w:t>
      </w:r>
    </w:p>
    <w:p>
      <w:pPr>
        <w:pStyle w:val="BodyText"/>
      </w:pPr>
      <w:r>
        <w:t xml:space="preserve">Откроем все активные сессии. Видим там сеть атакующего. (рис. 11)</w:t>
      </w:r>
    </w:p>
    <w:p>
      <w:pPr>
        <w:pStyle w:val="CaptionedFigure"/>
      </w:pPr>
      <w:bookmarkStart w:id="72" w:name="fig:011"/>
      <w:r>
        <w:drawing>
          <wp:inline>
            <wp:extent cx="5334000" cy="2990497"/>
            <wp:effectExtent b="0" l="0" r="0" t="0"/>
            <wp:docPr descr="Рис. 11: Все активные сети" title="" id="70" name="Picture"/>
            <a:graphic>
              <a:graphicData uri="http://schemas.openxmlformats.org/drawingml/2006/picture">
                <pic:pic>
                  <pic:nvPicPr>
                    <pic:cNvPr descr="image/y_y_1_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11: Все активные сети</w:t>
      </w:r>
    </w:p>
    <w:p>
      <w:pPr>
        <w:pStyle w:val="BodyText"/>
      </w:pPr>
      <w:r>
        <w:t xml:space="preserve">Для закрытия вредоносного сокета необходимо завершить процесс, использующийся для поддержания соединения. При завершении процесса определить уникальный идентификатор процесса (PID) и прописать команду kill с соответствующими параметрами.</w:t>
      </w:r>
    </w:p>
    <w:p>
      <w:pPr>
        <w:pStyle w:val="BodyText"/>
      </w:pPr>
      <w:r>
        <w:t xml:space="preserve">Закрываем активную сессию атакующего. (рис. 12 - рис. 13)</w:t>
      </w:r>
    </w:p>
    <w:p>
      <w:pPr>
        <w:pStyle w:val="CaptionedFigure"/>
      </w:pPr>
      <w:bookmarkStart w:id="76" w:name="fig:012"/>
      <w:r>
        <w:drawing>
          <wp:inline>
            <wp:extent cx="5334000" cy="2810227"/>
            <wp:effectExtent b="0" l="0" r="0" t="0"/>
            <wp:docPr descr="Рис. 12: Закрытие активной сессии атакующего" title="" id="74" name="Picture"/>
            <a:graphic>
              <a:graphicData uri="http://schemas.openxmlformats.org/drawingml/2006/picture">
                <pic:pic>
                  <pic:nvPicPr>
                    <pic:cNvPr descr="image/y_y_1_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12: Закрытие активной сессии атакующего</w:t>
      </w:r>
    </w:p>
    <w:p>
      <w:pPr>
        <w:pStyle w:val="CaptionedFigure"/>
      </w:pPr>
      <w:bookmarkStart w:id="80" w:name="fig:013"/>
      <w:r>
        <w:drawing>
          <wp:inline>
            <wp:extent cx="5334000" cy="408395"/>
            <wp:effectExtent b="0" l="0" r="0" t="0"/>
            <wp:docPr descr="Рис. 13: Закрытие активной сессии атакующего" title="" id="78" name="Picture"/>
            <a:graphic>
              <a:graphicData uri="http://schemas.openxmlformats.org/drawingml/2006/picture">
                <pic:pic>
                  <pic:nvPicPr>
                    <pic:cNvPr descr="image/y_y_1_3_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13: Закрытие активной сессии атакующего</w:t>
      </w:r>
    </w:p>
    <w:p>
      <w:pPr>
        <w:pStyle w:val="BodyText"/>
      </w:pPr>
      <w:r>
        <w:t xml:space="preserve">Таким образом, meterpreter-сессия между машиной нарушителя и уязвимым хостом будет успешно завершена.</w:t>
      </w:r>
    </w:p>
    <w:bookmarkEnd w:id="81"/>
    <w:bookmarkEnd w:id="82"/>
    <w:bookmarkStart w:id="111" w:name="атака-на-почтовый-серверproxylogon-1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Атака на почтовый сервер(ProxyLogon)</w:t>
      </w:r>
    </w:p>
    <w:bookmarkStart w:id="87" w:name="X440d1218d64c29629146ecfb5e71dfe0fb91ca2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Обнаружение CVE 2021-26855 (SSRF) средствами ViPNet IDS NS</w:t>
      </w:r>
    </w:p>
    <w:p>
      <w:pPr>
        <w:pStyle w:val="FirstParagraph"/>
      </w:pPr>
      <w:r>
        <w:t xml:space="preserve">Proxylogon представляет собой SSRF в Exchange Server, позволяющую обойти аутентификацию и выдать себя за администратора. В сценарии данная уязвимость используется в связке с CVE 2021-27065 (запись файла в произвольную директорию). Уязвимости Proxylogon подвержены все Exchange Server 2016, до версии 15.01.2106.013.</w:t>
      </w:r>
    </w:p>
    <w:p>
      <w:pPr>
        <w:pStyle w:val="BodyText"/>
      </w:pPr>
      <w:r>
        <w:t xml:space="preserve">Сетевой сенсор ViPNet IDS NS</w:t>
      </w:r>
      <w:r>
        <w:t xml:space="preserve">[5]</w:t>
      </w:r>
      <w:r>
        <w:t xml:space="preserve"> </w:t>
      </w:r>
      <w:r>
        <w:t xml:space="preserve">во время атаки детектирует несколько событий, которые потенциально могут быть связаны с эксплуатацией уязвимости на уязвимом хосте(рис. 14)</w:t>
      </w:r>
    </w:p>
    <w:p>
      <w:pPr>
        <w:pStyle w:val="CaptionedFigure"/>
      </w:pPr>
      <w:bookmarkStart w:id="86" w:name="fig:014"/>
      <w:r>
        <w:drawing>
          <wp:inline>
            <wp:extent cx="5334000" cy="2814136"/>
            <wp:effectExtent b="0" l="0" r="0" t="0"/>
            <wp:docPr descr="Рис. 14: Список событий, направленных на уязвимый сервер" title="" id="84" name="Picture"/>
            <a:graphic>
              <a:graphicData uri="http://schemas.openxmlformats.org/drawingml/2006/picture">
                <pic:pic>
                  <pic:nvPicPr>
                    <pic:cNvPr descr="image/o_y_2_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14: Список событий, направленных на уязвимый сервер</w:t>
      </w:r>
    </w:p>
    <w:p>
      <w:pPr>
        <w:pStyle w:val="BodyText"/>
      </w:pPr>
      <w:r>
        <w:t xml:space="preserve">В списке событий присутствуют признаки загрузки на уязвимый хост подозрительных файлов в формате .exe.</w:t>
      </w:r>
      <w:r>
        <w:t xml:space="preserve"> </w:t>
      </w:r>
      <w:r>
        <w:t xml:space="preserve">Также зафиксирована активность вредоносного программного обеспечения Metasploit.</w:t>
      </w:r>
    </w:p>
    <w:bookmarkEnd w:id="87"/>
    <w:bookmarkStart w:id="96" w:name="обнаружение-средствами-security-onion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Обнаружение средствами Security Onion</w:t>
      </w:r>
    </w:p>
    <w:p>
      <w:pPr>
        <w:pStyle w:val="FirstParagraph"/>
      </w:pPr>
      <w:r>
        <w:t xml:space="preserve">Для обнаружения последствий эксплуатации в Security Onion</w:t>
      </w:r>
      <w:r>
        <w:t xml:space="preserve">[6]</w:t>
      </w:r>
      <w:r>
        <w:t xml:space="preserve"> </w:t>
      </w:r>
      <w:r>
        <w:t xml:space="preserve">следует использовать утилиту Squert – визуальный инструмент, предоставляющий дополнительный контекст для событий с помощью метаданных. Для просмотра данных о событиях нужно открыть ссылку на веб-приложение</w:t>
      </w:r>
      <w:r>
        <w:t xml:space="preserve"> </w:t>
      </w:r>
      <w:r>
        <w:t xml:space="preserve">Squert на главной странице Security Onion.</w:t>
      </w:r>
    </w:p>
    <w:p>
      <w:pPr>
        <w:pStyle w:val="BodyText"/>
      </w:pPr>
      <w:r>
        <w:t xml:space="preserve">На скриншоте представлены события, зафиксированные веб-приложением Squert(рис. 15). Данные события аналогичны событиям, зафиксированным сетевым сенсором ViPNet IDS NS.</w:t>
      </w:r>
    </w:p>
    <w:p>
      <w:pPr>
        <w:pStyle w:val="CaptionedFigure"/>
      </w:pPr>
      <w:bookmarkStart w:id="91" w:name="fig:015"/>
      <w:r>
        <w:drawing>
          <wp:inline>
            <wp:extent cx="5334000" cy="3556000"/>
            <wp:effectExtent b="0" l="0" r="0" t="0"/>
            <wp:docPr descr="Рис. 15: События, зафиксированные Squert" title="" id="89" name="Picture"/>
            <a:graphic>
              <a:graphicData uri="http://schemas.openxmlformats.org/drawingml/2006/picture">
                <pic:pic>
                  <pic:nvPicPr>
                    <pic:cNvPr descr="image/o_y_2_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15: События, зафиксированные Squert</w:t>
      </w:r>
    </w:p>
    <w:p>
      <w:pPr>
        <w:pStyle w:val="BodyText"/>
      </w:pPr>
      <w:r>
        <w:t xml:space="preserve">Необходимо выбрать любое из событий и нажать соответствующий «EVENT ID». Событие подробнее приведено в содержимом сетевых пакетов, которые использует нарушитель для работы с уязвимым хостом и эксплуатации уязвимости.</w:t>
      </w:r>
    </w:p>
    <w:p>
      <w:pPr>
        <w:pStyle w:val="BodyText"/>
      </w:pPr>
      <w:r>
        <w:t xml:space="preserve">Заполним карточку второго инцидента. (рис. 16)</w:t>
      </w:r>
    </w:p>
    <w:p>
      <w:pPr>
        <w:pStyle w:val="CaptionedFigure"/>
      </w:pPr>
      <w:bookmarkStart w:id="95" w:name="fig:016"/>
      <w:r>
        <w:drawing>
          <wp:inline>
            <wp:extent cx="5334000" cy="3333750"/>
            <wp:effectExtent b="0" l="0" r="0" t="0"/>
            <wp:docPr descr="Рис. 16: Карточка второго инцидента" title="" id="93" name="Picture"/>
            <a:graphic>
              <a:graphicData uri="http://schemas.openxmlformats.org/drawingml/2006/picture">
                <pic:pic>
                  <pic:nvPicPr>
                    <pic:cNvPr descr="image/i_2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16: Карточка второго инцидента</w:t>
      </w:r>
    </w:p>
    <w:bookmarkEnd w:id="96"/>
    <w:bookmarkStart w:id="105" w:name="устранение-уязвимости-proxylogon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Устранение уязвимости ProxyLogon</w:t>
      </w:r>
    </w:p>
    <w:p>
      <w:pPr>
        <w:pStyle w:val="FirstParagraph"/>
      </w:pPr>
      <w:r>
        <w:t xml:space="preserve">Во время эксплуатации уязвимости Proxylogon нарушитель совершает GET и POST запросы к /ecp. Достаточно ограничить доступ к вышеуказанной директории чтобы уязвимость не эксплуатировалась.</w:t>
      </w:r>
    </w:p>
    <w:p>
      <w:pPr>
        <w:pStyle w:val="BodyText"/>
      </w:pPr>
      <w:r>
        <w:t xml:space="preserve">Открыть Internet Information Services (IIS) Manager. Для этого необходимо нажать сочетание клавиш «Win+R», ввести «inetmgr» и нажать «Enter». В открывшемся окне перейти во вкладку MAIL/Sites/Default Web Site/ecp и нажать на IP Address and Domain Restrictions. Далее в «Edit Feature Settings» – «Access for unspecified clients» выбрать пункт «Deny» и нажать «OK»(рис. 17 - рис. 18)</w:t>
      </w:r>
    </w:p>
    <w:p>
      <w:pPr>
        <w:pStyle w:val="CaptionedFigure"/>
      </w:pPr>
      <w:bookmarkStart w:id="100" w:name="fig:017"/>
      <w:r>
        <w:drawing>
          <wp:inline>
            <wp:extent cx="5334000" cy="2997905"/>
            <wp:effectExtent b="0" l="0" r="0" t="0"/>
            <wp:docPr descr="Рис. 17: MAIL/Sites/Default Web Site/ecp" title="" id="98" name="Picture"/>
            <a:graphic>
              <a:graphicData uri="http://schemas.openxmlformats.org/drawingml/2006/picture">
                <pic:pic>
                  <pic:nvPicPr>
                    <pic:cNvPr descr="image/y_y_2_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17: MAIL/Sites/Default Web Site/ecp</w:t>
      </w:r>
    </w:p>
    <w:p>
      <w:pPr>
        <w:pStyle w:val="CaptionedFigure"/>
      </w:pPr>
      <w:bookmarkStart w:id="104" w:name="fig:018"/>
      <w:r>
        <w:drawing>
          <wp:inline>
            <wp:extent cx="5334000" cy="2990497"/>
            <wp:effectExtent b="0" l="0" r="0" t="0"/>
            <wp:docPr descr="Рис. 18: MAIL/Sites/Default Web Site/ecp/IP Address and Domain Restrictions" title="" id="102" name="Picture"/>
            <a:graphic>
              <a:graphicData uri="http://schemas.openxmlformats.org/drawingml/2006/picture">
                <pic:pic>
                  <pic:nvPicPr>
                    <pic:cNvPr descr="image/y_y_2_2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18: MAIL/Sites/Default Web Site/ecp/IP Address and Domain Restrictions</w:t>
      </w:r>
    </w:p>
    <w:p>
      <w:pPr>
        <w:pStyle w:val="BodyText"/>
      </w:pPr>
      <w:r>
        <w:t xml:space="preserve">Следует отметить, что индикатор устранения уязвимости не изменится, пока не устранено последствие в виде вредоносного meterpreter-соединения. Рекомендации по закрытию вредоносного соединения представлены ниже.</w:t>
      </w:r>
    </w:p>
    <w:bookmarkEnd w:id="105"/>
    <w:bookmarkStart w:id="110" w:name="устранение-последствия-china-chopper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Устранение последствия China Chopper</w:t>
      </w:r>
    </w:p>
    <w:p>
      <w:pPr>
        <w:pStyle w:val="FirstParagraph"/>
      </w:pPr>
      <w:r>
        <w:t xml:space="preserve">Backdoor</w:t>
      </w:r>
      <w:r>
        <w:t xml:space="preserve"> </w:t>
      </w:r>
      <w:r>
        <w:t xml:space="preserve">“</w:t>
      </w:r>
      <w:r>
        <w:t xml:space="preserve">China Chopper</w:t>
      </w:r>
      <w:r>
        <w:t xml:space="preserve">”</w:t>
      </w:r>
      <w:r>
        <w:t xml:space="preserve"> </w:t>
      </w:r>
      <w:r>
        <w:t xml:space="preserve">можно найти в очевидной для таких атак</w:t>
      </w:r>
      <w:r>
        <w:t xml:space="preserve"> </w:t>
      </w:r>
      <w:r>
        <w:t xml:space="preserve">директории С:/Program Files/Microsoft/Exchange Server/V15/FrontEnd/HttpProxy/owa/auth/AM_backdoor.aspx.</w:t>
      </w:r>
      <w:r>
        <w:t xml:space="preserve"> </w:t>
      </w:r>
      <w:r>
        <w:t xml:space="preserve">Большинство POC (проверок концепций) эксплуатации уязвимости Proxylogon записывают файл именно по данному адресу, что выполняется для доступа backdoor(backdoor — «чёрный ход», дословно «задняя дверь» — уязвимость, которая даёт несанкционированный доступ к компьютеру, смартфону и т. п..) без авторизации из веб-директории owa/auth. При необходимости последствие можно записать в другую директорию.</w:t>
      </w:r>
    </w:p>
    <w:p>
      <w:pPr>
        <w:pStyle w:val="BodyText"/>
      </w:pPr>
      <w:r>
        <w:t xml:space="preserve">Для устранения последствия необходимо:</w:t>
      </w:r>
      <w:r>
        <w:t xml:space="preserve"> </w:t>
      </w:r>
      <w:r>
        <w:t xml:space="preserve">- удалить файл веб-оболочки по пути С:/ProgramFiles/Microsoft/Exchange Server/V15/FrontEnd/HttpProxy/../auth/;(рис. 19)</w:t>
      </w:r>
    </w:p>
    <w:p>
      <w:pPr>
        <w:pStyle w:val="CaptionedFigure"/>
      </w:pPr>
      <w:bookmarkStart w:id="109" w:name="fig:019"/>
      <w:r>
        <w:drawing>
          <wp:inline>
            <wp:extent cx="5334000" cy="2988027"/>
            <wp:effectExtent b="0" l="0" r="0" t="0"/>
            <wp:docPr descr="Рис. 19: Удаление файла AM_backdoor" title="" id="107" name="Picture"/>
            <a:graphic>
              <a:graphicData uri="http://schemas.openxmlformats.org/drawingml/2006/picture">
                <pic:pic>
                  <pic:nvPicPr>
                    <pic:cNvPr descr="image/p_2_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19: Удаление файла AM_backdoor</w:t>
      </w:r>
    </w:p>
    <w:bookmarkEnd w:id="110"/>
    <w:bookmarkEnd w:id="111"/>
    <w:bookmarkStart w:id="146" w:name="атака-на-rocketchat-cve-2021-22911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Атака на RocketChat (CVE-2021-22911)</w:t>
      </w:r>
    </w:p>
    <w:p>
      <w:pPr>
        <w:pStyle w:val="FirstParagraph"/>
      </w:pPr>
      <w:r>
        <w:t xml:space="preserve">Признак эксплуатации NoSQL-инъекции</w:t>
      </w:r>
      <w:r>
        <w:t xml:space="preserve">[8]</w:t>
      </w:r>
      <w:r>
        <w:t xml:space="preserve"> </w:t>
      </w:r>
      <w:r>
        <w:t xml:space="preserve">- это невозможность осуществления входа на веб-интерфейс под учетными данными администратора (логин: admin@rocket-local.com, пароль: qwe123!@#). В syslog пишутся следующие строчки:</w:t>
      </w:r>
    </w:p>
    <w:p>
      <w:pPr>
        <w:numPr>
          <w:ilvl w:val="0"/>
          <w:numId w:val="1007"/>
        </w:numPr>
        <w:pStyle w:val="Compact"/>
      </w:pPr>
      <w:r>
        <w:t xml:space="preserve">ошибка отправки приветственного сообщения при регистрации нового аккаунта(рис. 20);</w:t>
      </w:r>
    </w:p>
    <w:p>
      <w:pPr>
        <w:numPr>
          <w:ilvl w:val="0"/>
          <w:numId w:val="1007"/>
        </w:numPr>
        <w:pStyle w:val="Compact"/>
      </w:pPr>
      <w:r>
        <w:t xml:space="preserve">письмо для сброса пароля админа(рис. 21);</w:t>
      </w:r>
    </w:p>
    <w:p>
      <w:pPr>
        <w:numPr>
          <w:ilvl w:val="0"/>
          <w:numId w:val="1007"/>
        </w:numPr>
        <w:pStyle w:val="Compact"/>
      </w:pPr>
      <w:r>
        <w:t xml:space="preserve">ошибки при выполнении сценариев WebHook(рис. 22).</w:t>
      </w:r>
    </w:p>
    <w:p>
      <w:pPr>
        <w:pStyle w:val="CaptionedFigure"/>
      </w:pPr>
      <w:bookmarkStart w:id="115" w:name="fig:020"/>
      <w:r>
        <w:drawing>
          <wp:inline>
            <wp:extent cx="5334000" cy="1029132"/>
            <wp:effectExtent b="0" l="0" r="0" t="0"/>
            <wp:docPr descr="Рис. 20: Ошибка подтверждения e-mail" title="" id="113" name="Picture"/>
            <a:graphic>
              <a:graphicData uri="http://schemas.openxmlformats.org/drawingml/2006/picture">
                <pic:pic>
                  <pic:nvPicPr>
                    <pic:cNvPr descr="image/o_y_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Рис. 20: Ошибка подтверждения e-mail</w:t>
      </w:r>
    </w:p>
    <w:p>
      <w:pPr>
        <w:pStyle w:val="CaptionedFigure"/>
      </w:pPr>
      <w:bookmarkStart w:id="119" w:name="fig:021"/>
      <w:r>
        <w:drawing>
          <wp:inline>
            <wp:extent cx="5334000" cy="1863200"/>
            <wp:effectExtent b="0" l="0" r="0" t="0"/>
            <wp:docPr descr="Рис. 21: Письмо со сбросом пароля" title="" id="117" name="Picture"/>
            <a:graphic>
              <a:graphicData uri="http://schemas.openxmlformats.org/drawingml/2006/picture">
                <pic:pic>
                  <pic:nvPicPr>
                    <pic:cNvPr descr="image/o_y_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 21: Письмо со сбросом пароля</w:t>
      </w:r>
    </w:p>
    <w:p>
      <w:pPr>
        <w:pStyle w:val="CaptionedFigure"/>
      </w:pPr>
      <w:bookmarkStart w:id="123" w:name="fig:022"/>
      <w:r>
        <w:drawing>
          <wp:inline>
            <wp:extent cx="5334000" cy="468367"/>
            <wp:effectExtent b="0" l="0" r="0" t="0"/>
            <wp:docPr descr="Рис. 22: Ошибки при выполнении сценариев WebHook" title="" id="121" name="Picture"/>
            <a:graphic>
              <a:graphicData uri="http://schemas.openxmlformats.org/drawingml/2006/picture">
                <pic:pic>
                  <pic:nvPicPr>
                    <pic:cNvPr descr="image/o_y_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Рис. 22: Ошибки при выполнении сценариев WebHook</w:t>
      </w:r>
    </w:p>
    <w:p>
      <w:pPr>
        <w:pStyle w:val="BodyText"/>
      </w:pPr>
      <w:r>
        <w:t xml:space="preserve">Создадим карточку инцидента. (рис. 23)</w:t>
      </w:r>
    </w:p>
    <w:p>
      <w:pPr>
        <w:pStyle w:val="CaptionedFigure"/>
      </w:pPr>
      <w:bookmarkStart w:id="127" w:name="fig:023"/>
      <w:r>
        <w:drawing>
          <wp:inline>
            <wp:extent cx="5334000" cy="3333750"/>
            <wp:effectExtent b="0" l="0" r="0" t="0"/>
            <wp:docPr descr="Рис. 23: Карточка третьего инцидента" title="" id="125" name="Picture"/>
            <a:graphic>
              <a:graphicData uri="http://schemas.openxmlformats.org/drawingml/2006/picture">
                <pic:pic>
                  <pic:nvPicPr>
                    <pic:cNvPr descr="image/i_3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Рис. 23: Карточка третьего инцидента</w:t>
      </w:r>
    </w:p>
    <w:bookmarkStart w:id="136" w:name="закрытие-уязвимости-rocketchat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Закрытие уязвимости RocketChat</w:t>
      </w:r>
    </w:p>
    <w:p>
      <w:pPr>
        <w:pStyle w:val="FirstParagraph"/>
      </w:pPr>
      <w:r>
        <w:t xml:space="preserve">Так как NoSQL-инъекция для повышения привилегий использует высокоуровневый оператор БД $where, временной, смягчающей мерой, может стать отключение выполнения JavaScript на стороне сервера базы данных.</w:t>
      </w:r>
    </w:p>
    <w:p>
      <w:pPr>
        <w:pStyle w:val="BodyText"/>
      </w:pPr>
      <w:r>
        <w:t xml:space="preserve">Для этого необходимо отредактировать файл конфигурации БД /etc/mongod.conf, добавив строчку javascriptEnabled: false. (рис. 24 - рис. 25)</w:t>
      </w:r>
    </w:p>
    <w:p>
      <w:pPr>
        <w:pStyle w:val="CaptionedFigure"/>
      </w:pPr>
      <w:bookmarkStart w:id="131" w:name="fig:024"/>
      <w:r>
        <w:drawing>
          <wp:inline>
            <wp:extent cx="5334000" cy="2997905"/>
            <wp:effectExtent b="0" l="0" r="0" t="0"/>
            <wp:docPr descr="Рис. 24: Изначальный файл конфигурации БД /etc/mongod.conf" title="" id="129" name="Picture"/>
            <a:graphic>
              <a:graphicData uri="http://schemas.openxmlformats.org/drawingml/2006/picture">
                <pic:pic>
                  <pic:nvPicPr>
                    <pic:cNvPr descr="image/y_3_10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Рис. 24: Изначальный файл конфигурации БД /etc/mongod.conf</w:t>
      </w:r>
    </w:p>
    <w:p>
      <w:pPr>
        <w:pStyle w:val="CaptionedFigure"/>
      </w:pPr>
      <w:bookmarkStart w:id="135" w:name="fig:025"/>
      <w:r>
        <w:drawing>
          <wp:inline>
            <wp:extent cx="5334000" cy="2995436"/>
            <wp:effectExtent b="0" l="0" r="0" t="0"/>
            <wp:docPr descr="Рис. 25: Измененный файл конфигурации БД /etc/mongod.conf" title="" id="133" name="Picture"/>
            <a:graphic>
              <a:graphicData uri="http://schemas.openxmlformats.org/drawingml/2006/picture">
                <pic:pic>
                  <pic:nvPicPr>
                    <pic:cNvPr descr="image/y_3_1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Рис. 25: Измененный файл конфигурации БД /etc/mongod.conf</w:t>
      </w:r>
    </w:p>
    <w:bookmarkEnd w:id="136"/>
    <w:bookmarkStart w:id="145" w:name="закрытие-уязвимости-и-последствия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Закрытие уязвимости и последствия</w:t>
      </w:r>
    </w:p>
    <w:p>
      <w:pPr>
        <w:pStyle w:val="FirstParagraph"/>
      </w:pPr>
      <w:r>
        <w:t xml:space="preserve">Для применения настроек необходимо перезапустить службу: sudo systemctl restart mongod.service. (рис. 26)</w:t>
      </w:r>
    </w:p>
    <w:p>
      <w:pPr>
        <w:pStyle w:val="CaptionedFigure"/>
      </w:pPr>
      <w:bookmarkStart w:id="140" w:name="fig:026"/>
      <w:r>
        <w:drawing>
          <wp:inline>
            <wp:extent cx="5334000" cy="2997905"/>
            <wp:effectExtent b="0" l="0" r="0" t="0"/>
            <wp:docPr descr="Рис. 26: Перезапуск службы: sudo systemctl restart mongod.service" title="" id="138" name="Picture"/>
            <a:graphic>
              <a:graphicData uri="http://schemas.openxmlformats.org/drawingml/2006/picture">
                <pic:pic>
                  <pic:nvPicPr>
                    <pic:cNvPr descr="image/y_3_1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Рис. 26: Перезапуск службы: sudo systemctl restart mongod.service</w:t>
      </w:r>
    </w:p>
    <w:p>
      <w:pPr>
        <w:pStyle w:val="BodyText"/>
      </w:pPr>
      <w:r>
        <w:t xml:space="preserve">Данное последствие можно обнаружить при выводе сетевой статистики с помощью утилиты ss и параметрами –tp (позволяет просматривать сведения по TCP-соединениям, список процессов в данный момент). В случае установления соединения, на уязвимой машине появится сокет с машиной нарушителя.</w:t>
      </w:r>
    </w:p>
    <w:p>
      <w:pPr>
        <w:pStyle w:val="BodyText"/>
      </w:pPr>
      <w:r>
        <w:t xml:space="preserve">Нейтрализовать meterpreter-сессию также можно при помощи утилиты ss с ключом –K, чтобы завершить все сессии с машиной нарушителя необходимо ввести: sudo ss –K dst HACKER_IP dport = HACKER_PORT.</w:t>
      </w:r>
    </w:p>
    <w:p>
      <w:pPr>
        <w:pStyle w:val="BodyText"/>
      </w:pPr>
      <w:r>
        <w:t xml:space="preserve">И закрыть сессию с нарушителем. (рис. 27)</w:t>
      </w:r>
    </w:p>
    <w:p>
      <w:pPr>
        <w:pStyle w:val="CaptionedFigure"/>
      </w:pPr>
      <w:bookmarkStart w:id="144" w:name="fig:027"/>
      <w:r>
        <w:drawing>
          <wp:inline>
            <wp:extent cx="5334000" cy="2990497"/>
            <wp:effectExtent b="0" l="0" r="0" t="0"/>
            <wp:docPr descr="Рис. 27: Закрытие сессии с нарушителем" title="" id="142" name="Picture"/>
            <a:graphic>
              <a:graphicData uri="http://schemas.openxmlformats.org/drawingml/2006/picture">
                <pic:pic>
                  <pic:nvPicPr>
                    <pic:cNvPr descr="image/y_3_13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0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Рис. 27: Закрытие сессии с нарушителем</w:t>
      </w:r>
    </w:p>
    <w:bookmarkEnd w:id="145"/>
    <w:bookmarkEnd w:id="146"/>
    <w:bookmarkEnd w:id="147"/>
    <w:bookmarkStart w:id="148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лабораторной работы мы выполнили тренировку</w:t>
      </w:r>
      <w:r>
        <w:t xml:space="preserve"> </w:t>
      </w:r>
      <w:r>
        <w:t xml:space="preserve">“</w:t>
      </w:r>
      <w:r>
        <w:t xml:space="preserve">Защита корпоративного мессенджера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освоили практические навыки выявления, анализа и устранения уязвимостей в корпоративной инфраструктуре, а также освоили навыки отработки действий по нейтрализации последствий успешных атак.</w:t>
      </w:r>
    </w:p>
    <w:bookmarkEnd w:id="148"/>
    <w:bookmarkStart w:id="159" w:name="список-литературы"/>
    <w:p>
      <w:pPr>
        <w:pStyle w:val="Heading1"/>
      </w:pPr>
      <w:r>
        <w:t xml:space="preserve">Список литературы</w:t>
      </w:r>
    </w:p>
    <w:bookmarkStart w:id="158" w:name="refs"/>
    <w:bookmarkStart w:id="149" w:name="ref-scen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Сценарий Защита корпоративного мессенджера [Электронный ресурс].</w:t>
      </w:r>
    </w:p>
    <w:bookmarkEnd w:id="149"/>
    <w:bookmarkStart w:id="150" w:name="ref-WPD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«WPDISCUZ» [Электронный ресурс].</w:t>
      </w:r>
    </w:p>
    <w:bookmarkEnd w:id="150"/>
    <w:bookmarkStart w:id="151" w:name="ref-Prox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«PROXYLOGON» (CVE 2020-26855) [Электронный ресурс].</w:t>
      </w:r>
    </w:p>
    <w:bookmarkEnd w:id="151"/>
    <w:bookmarkStart w:id="152" w:name="ref-Roc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«ROCKETCHAT» [Электронный ресурс].</w:t>
      </w:r>
    </w:p>
    <w:bookmarkEnd w:id="152"/>
    <w:bookmarkStart w:id="153" w:name="ref-vip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 Руководство администратора [Электронный ресурс].</w:t>
      </w:r>
    </w:p>
    <w:bookmarkEnd w:id="153"/>
    <w:bookmarkStart w:id="154" w:name="ref-Onion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Security Onion Documentation Release 16.04.7.2 [Электронный ресурс].</w:t>
      </w:r>
    </w:p>
    <w:bookmarkEnd w:id="154"/>
    <w:bookmarkStart w:id="155" w:name="ref-AM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AM Threat Intelligence Portal [Электронный ресурс].</w:t>
      </w:r>
    </w:p>
    <w:bookmarkEnd w:id="155"/>
    <w:bookmarkStart w:id="157" w:name="ref-roc_s"/>
    <w:p>
      <w:pPr>
        <w:pStyle w:val="Bibliography"/>
      </w:pPr>
      <w:r>
        <w:t xml:space="preserve">8.</w:t>
      </w:r>
      <w:r>
        <w:t xml:space="preserve"> </w:t>
      </w:r>
      <w:r>
        <w:t xml:space="preserve">	</w:t>
      </w:r>
      <w:r>
        <w:t xml:space="preserve">NoSQL Injections in Rocket.Chat 3.12.1: How A Small Leak Grounds A Rocket [Электронный ресурс]. URL:</w:t>
      </w:r>
      <w:r>
        <w:t xml:space="preserve"> </w:t>
      </w:r>
      <w:hyperlink r:id="rId156">
        <w:r>
          <w:rPr>
            <w:rStyle w:val="Hyperlink"/>
          </w:rPr>
          <w:t xml:space="preserve">https://www.sonarsource.com/blog/nosql-injections-in-rocket-chat/</w:t>
        </w:r>
      </w:hyperlink>
      <w:r>
        <w:t xml:space="preserve">.</w:t>
      </w:r>
    </w:p>
    <w:bookmarkEnd w:id="157"/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92" Target="media/rId92.png" /><Relationship Type="http://schemas.openxmlformats.org/officeDocument/2006/relationships/image" Id="rId124" Target="media/rId124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120" Target="media/rId120.png" /><Relationship Type="http://schemas.openxmlformats.org/officeDocument/2006/relationships/image" Id="rId106" Target="media/rId106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hyperlink" Id="rId156" Target="https://www.sonarsource.com/blog/nosql-injections-in-rocket-chat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56" Target="https://www.sonarsource.com/blog/nosql-injections-in-rocket-chat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НКНбд-01-22;; Аристид Жан,; Акопян Сатеник,; Кадров Виктор,; Нве Манге Хосе Херсон Мико,; Эспиноса Висилита Кристина Микаела,; НПИбд-01-22;; Стариков Данила,; НФИбд-02-22;; Чемоданова Ангелина</dc:creator>
  <dc:language>ru-RU</dc:language>
  <cp:keywords/>
  <dcterms:created xsi:type="dcterms:W3CDTF">2025-09-30T06:54:10Z</dcterms:created>
  <dcterms:modified xsi:type="dcterms:W3CDTF">2025-09-30T06:54:10Z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List of Tables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IBM Plex Serif</vt:lpwstr>
  </property>
  <property fmtid="{D5CDD505-2E9C-101B-9397-08002B2CF9AE}" pid="51" name="mainfontoptions">
    <vt:lpwstr>Ligatures=Common,Ligatures=TeX,Scale=0.94</vt:lpwstr>
  </property>
  <property fmtid="{D5CDD505-2E9C-101B-9397-08002B2CF9AE}" pid="52" name="mathfont">
    <vt:lpwstr>STIX Two Math</vt:lpwstr>
  </property>
  <property fmtid="{D5CDD505-2E9C-101B-9397-08002B2CF9AE}" pid="53" name="mathfontoptions">
    <vt:lpwstr/>
  </property>
  <property fmtid="{D5CDD505-2E9C-101B-9397-08002B2CF9AE}" pid="54" name="monofont">
    <vt:lpwstr>IBM Plex Mono</vt:lpwstr>
  </property>
  <property fmtid="{D5CDD505-2E9C-101B-9397-08002B2CF9AE}" pid="55" name="monofontoptions">
    <vt:lpwstr>Scale=MatchLowercase,Scale=0.94,FakeStretch=0.9</vt:lpwstr>
  </property>
  <property fmtid="{D5CDD505-2E9C-101B-9397-08002B2CF9AE}" pid="56" name="nameInLink">
    <vt:lpwstr>False</vt:lpwstr>
  </property>
  <property fmtid="{D5CDD505-2E9C-101B-9397-08002B2CF9AE}" pid="57" name="numberSections">
    <vt:lpwstr>False</vt:lpwstr>
  </property>
  <property fmtid="{D5CDD505-2E9C-101B-9397-08002B2CF9AE}" pid="58" name="pairDelim">
    <vt:lpwstr>, </vt:lpwstr>
  </property>
  <property fmtid="{D5CDD505-2E9C-101B-9397-08002B2CF9AE}" pid="59" name="papersize">
    <vt:lpwstr>a4</vt:lpwstr>
  </property>
  <property fmtid="{D5CDD505-2E9C-101B-9397-08002B2CF9AE}" pid="60" name="polyglossia-lang">
    <vt:lpwstr/>
  </property>
  <property fmtid="{D5CDD505-2E9C-101B-9397-08002B2CF9AE}" pid="61" name="polyglossia-otherlangs">
    <vt:lpwstr/>
  </property>
  <property fmtid="{D5CDD505-2E9C-101B-9397-08002B2CF9AE}" pid="62" name="rangeDelim">
    <vt:lpwstr>-</vt:lpwstr>
  </property>
  <property fmtid="{D5CDD505-2E9C-101B-9397-08002B2CF9AE}" pid="63" name="refDelim">
    <vt:lpwstr>, </vt:lpwstr>
  </property>
  <property fmtid="{D5CDD505-2E9C-101B-9397-08002B2CF9AE}" pid="64" name="refIndexTemplate">
    <vt:lpwstr>isuf</vt:lpwstr>
  </property>
  <property fmtid="{D5CDD505-2E9C-101B-9397-08002B2CF9AE}" pid="65" name="romanfont">
    <vt:lpwstr>IBM Plex Serif</vt:lpwstr>
  </property>
  <property fmtid="{D5CDD505-2E9C-101B-9397-08002B2CF9AE}" pid="66" name="romanfontoptions">
    <vt:lpwstr>Ligatures=Common,Ligatures=TeX,Scale=0.94</vt:lpwstr>
  </property>
  <property fmtid="{D5CDD505-2E9C-101B-9397-08002B2CF9AE}" pid="67" name="sansfont">
    <vt:lpwstr>IBM Plex Sans</vt:lpwstr>
  </property>
  <property fmtid="{D5CDD505-2E9C-101B-9397-08002B2CF9AE}" pid="68" name="sansfontoptions">
    <vt:lpwstr>Ligatures=Common,Ligatures=TeX,Scale=MatchLowercase,Scale=0.94</vt:lpwstr>
  </property>
  <property fmtid="{D5CDD505-2E9C-101B-9397-08002B2CF9AE}" pid="69" name="secHeaderDelim">
    <vt:lpwstr> </vt:lpwstr>
  </property>
  <property fmtid="{D5CDD505-2E9C-101B-9397-08002B2CF9AE}" pid="70" name="secHeaderTemplate">
    <vt:lpwstr>isecHeaderDelim[n]t</vt:lpwstr>
  </property>
  <property fmtid="{D5CDD505-2E9C-101B-9397-08002B2CF9AE}" pid="71" name="secLabels">
    <vt:lpwstr>arabic</vt:lpwstr>
  </property>
  <property fmtid="{D5CDD505-2E9C-101B-9397-08002B2CF9AE}" pid="72" name="secPrefix">
    <vt:lpwstr/>
  </property>
  <property fmtid="{D5CDD505-2E9C-101B-9397-08002B2CF9AE}" pid="73" name="secPrefixTemplate">
    <vt:lpwstr>p i</vt:lpwstr>
  </property>
  <property fmtid="{D5CDD505-2E9C-101B-9397-08002B2CF9AE}" pid="74" name="sectionsDepth">
    <vt:lpwstr>0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">
    <vt:lpwstr>Кибербезопасность предприятия</vt:lpwstr>
  </property>
  <property fmtid="{D5CDD505-2E9C-101B-9397-08002B2CF9AE}" pid="81" name="tableEqns">
    <vt:lpwstr>False</vt:lpwstr>
  </property>
  <property fmtid="{D5CDD505-2E9C-101B-9397-08002B2CF9AE}" pid="82" name="tableTemplate">
    <vt:lpwstr>tableTitle ititleDelim t</vt:lpwstr>
  </property>
  <property fmtid="{D5CDD505-2E9C-101B-9397-08002B2CF9AE}" pid="83" name="tableTitle">
    <vt:lpwstr>Таблица</vt:lpwstr>
  </property>
  <property fmtid="{D5CDD505-2E9C-101B-9397-08002B2CF9AE}" pid="84" name="tblLabels">
    <vt:lpwstr>arabic</vt:lpwstr>
  </property>
  <property fmtid="{D5CDD505-2E9C-101B-9397-08002B2CF9AE}" pid="85" name="tblPrefix">
    <vt:lpwstr/>
  </property>
  <property fmtid="{D5CDD505-2E9C-101B-9397-08002B2CF9AE}" pid="86" name="tblPrefixTemplate">
    <vt:lpwstr>p i</vt:lpwstr>
  </property>
  <property fmtid="{D5CDD505-2E9C-101B-9397-08002B2CF9AE}" pid="87" name="titleDelim">
    <vt:lpwstr>:</vt:lpwstr>
  </property>
  <property fmtid="{D5CDD505-2E9C-101B-9397-08002B2CF9AE}" pid="88" name="toc">
    <vt:lpwstr>True</vt:lpwstr>
  </property>
  <property fmtid="{D5CDD505-2E9C-101B-9397-08002B2CF9AE}" pid="89" name="toc-depth">
    <vt:lpwstr>2</vt:lpwstr>
  </property>
  <property fmtid="{D5CDD505-2E9C-101B-9397-08002B2CF9AE}" pid="90" name="toc-title">
    <vt:lpwstr>Содержание</vt:lpwstr>
  </property>
</Properties>
</file>